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Klimaatactie-simulatie: Industrie en handel</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Aan:</w:t>
      </w:r>
      <w:r>
        <w:tab/>
        <w:t>de hoofdonderhandelaars van de sector Industrie en Handel</w:t>
      </w:r>
    </w:p>
    <w:p w:rsidR="00097510" w:rsidRPr="00D81B2C" w:rsidRDefault="00D81B2C">
      <w:pPr>
        <w:pStyle w:val="Bodytext30"/>
        <w:shd w:val="clear" w:color="auto" w:fill="auto"/>
        <w:tabs>
          <w:tab w:val="left" w:pos="1440"/>
        </w:tabs>
        <w:spacing w:before="0" w:after="120"/>
      </w:pPr>
      <w:r>
        <w:t>Betreft:</w:t>
      </w:r>
      <w:r>
        <w:tab/>
        <w:t>voorbereiding van de klimaatactietop</w:t>
      </w:r>
    </w:p>
    <w:p w:rsidR="00097510" w:rsidRPr="00D81B2C" w:rsidRDefault="00D81B2C" w:rsidP="00186876">
      <w:pPr>
        <w:pStyle w:val="Bodytext20"/>
        <w:shd w:val="clear" w:color="auto" w:fill="auto"/>
        <w:spacing w:before="0"/>
        <w:ind w:firstLine="0"/>
        <w:jc w:val="both"/>
      </w:pPr>
      <w:r>
        <w:t xml:space="preserve">Welkom op de klimaatactietop. De secretaris-generaal van de VN heeft jullie uitgenodigd om samen met de leiders van alle andere belanghebbende partijen oplossingen uit te werken voor de bestrijding van de klimaatverandering. In zijn uitnodiging </w:t>
      </w:r>
      <w:r>
        <w:rPr>
          <w:rStyle w:val="Bodytext21"/>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 Maar de wetenschap vertelt ons ook dat het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rsidR="00097510" w:rsidRPr="00D81B2C" w:rsidRDefault="00D81B2C" w:rsidP="00186876">
      <w:pPr>
        <w:pStyle w:val="Bodytext20"/>
        <w:shd w:val="clear" w:color="auto" w:fill="auto"/>
        <w:spacing w:before="0"/>
        <w:ind w:firstLine="0"/>
        <w:jc w:val="both"/>
      </w:pPr>
      <w:r>
        <w:t xml:space="preserve">Het doel van de top is een plan op te stellen om de opwarming van de aarde te beperken tot minder dan 2°C [3,6°F] boven het pre-industriële niveau, en te streven naar 1,5°C [2,7°F], overeenkomstig de internationale doelstellingen die formeel zijn erkend in de klimaatovereenkomst van Parijs. Het </w:t>
      </w:r>
      <w:r>
        <w:rPr>
          <w:rStyle w:val="Bodytext21"/>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097510" w:rsidRPr="00D81B2C" w:rsidRDefault="00D81B2C" w:rsidP="00186876">
      <w:pPr>
        <w:pStyle w:val="Bodytext20"/>
        <w:shd w:val="clear" w:color="auto" w:fill="auto"/>
        <w:spacing w:before="0" w:after="140"/>
        <w:ind w:firstLine="0"/>
        <w:jc w:val="both"/>
      </w:pPr>
      <w:r>
        <w:t>Jullie groep bestaat onder meer uit topmanagers van de belangrijkste industriesectoren en bedrijven ter wereld die grootverbruikers zijn van energie, waaronder autofabrikanten, luchtvaartmaatschappijen, scheepvaart en vrachtvervoer, fabrikanten van industriële en consumptiegoederen, de bouwsector, woningen en commercieel vastgoed, consumentenproducten, informatietechnologie en andere grote ondernemingen.</w:t>
      </w:r>
    </w:p>
    <w:p w:rsidR="00097510" w:rsidRPr="00D81B2C" w:rsidRDefault="00D81B2C">
      <w:pPr>
        <w:pStyle w:val="Bodytext20"/>
        <w:shd w:val="clear" w:color="auto" w:fill="auto"/>
        <w:spacing w:before="0" w:after="100" w:line="244" w:lineRule="exact"/>
        <w:ind w:firstLine="0"/>
        <w:jc w:val="both"/>
      </w:pPr>
      <w:r>
        <w:t>De beleidsprioriteiten van jullie groep worden hieronder opgesomd. Jullie kunnen echter elke andere beschikbare beleidsmaatregel voorstellen of blokkeren.</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Hou de energieprijzen laag. </w:t>
      </w:r>
      <w:r>
        <w:t>De productkosten zullen stijgen als de energieprijzen stijgen, waardoor mensen minder geneigd zijn jullie producten te kopen. Hou de energieprijzen laag door te strijden tegen energiebelastingen en hoge koolstofprijzen, en tegelijkertijd energiesubsidies te bevorderen. Ga na hoe de beleidsmaatregelen die jullie groep en de andere groepen voorstellen, de kosten van energie zouden beïnvloeden.</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Verhoog de energie-efficiëntie van vervoer, gebouwen en industrie. </w:t>
      </w:r>
      <w:r>
        <w:t>Energie-efficiëntie betekent dat minder energie wordt gebruikt om dezelfde diensten of producten te leveren. Het verhogen van de energie-efficiëntie brengt soms hog</w:t>
      </w:r>
      <w:bookmarkStart w:id="1" w:name="_GoBack"/>
      <w:bookmarkEnd w:id="1"/>
      <w:r>
        <w:t>ere kosten met zich mee, maar verlaagt de exploitatiekosten, wat op lange termijn besparingen oplevert. Efficiëntieverbeteringen kunnen een aantrekkelijke optie zijn om de uitstoot van broeikasgassen terug te dringen. Jullie maken echter bezwaar tegen beleid en regelgeving die een drastische verhoging van de efficiëntie vereisen, om snelle en dure veranderingen van jullie productieprocessen te voorkomen.</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Elektrificatie van vervoer, gebouwen en industrie. </w:t>
      </w:r>
      <w:r>
        <w:t>De huidige vervoerssector is voor zijn brandstofvoorziening voor auto’s, vrachtwagens, schepen, treinen en vliegtuigen grotendeels afhankelijk van olie. Bovendien is de uitstoot van broeikasgassen van gebouwen voornamelijk afkomstig van fossiele brandstoffen die worden verbrand voor verwarming. Als vervoer, verwarming en industriële processen geëlektrificeerd zijn, kunnen ze uiteindelijk worden aangedreven door hernieuwbare energie, mits deze energiebronnen betrouwbaar zijn en goedkoper dan fossiele energie.</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Moedig acties aan die niet rechtstreeks van invloed zijn op jullie bedrijfstak. </w:t>
      </w:r>
      <w:r>
        <w:t xml:space="preserve">Hoewel jullie </w:t>
      </w:r>
      <w:r>
        <w:lastRenderedPageBreak/>
        <w:t>beseffen dat de klimaatverandering gevaarlijk is, moeten jullie ook de waarde voor de aandeelhouders beschermen. Pleit daarom voor beleidsmaatregelen die de uitstoot van broeikasgassen kunnen verminderen zonder jullie bedrijfstak te schaden. Hoewel de CO</w:t>
      </w:r>
      <w:r>
        <w:rPr>
          <w:vertAlign w:val="subscript"/>
        </w:rPr>
        <w:t>2</w:t>
      </w:r>
      <w:r>
        <w:t xml:space="preserve"> die vrijkomt bij het gebruik van fossiele brandstoffen het meest bijdraagt aan de klimaatverandering, zijn andere gassen, waaronder methaan (CH</w:t>
      </w:r>
      <w:r>
        <w:rPr>
          <w:vertAlign w:val="subscript"/>
        </w:rPr>
        <w:t>4</w:t>
      </w:r>
      <w:r>
        <w:t>) en distikstofoxide (N</w:t>
      </w:r>
      <w:r>
        <w:rPr>
          <w:vertAlign w:val="subscript"/>
        </w:rPr>
        <w:t>2</w:t>
      </w:r>
      <w:r>
        <w:t>O), ook krachtige broeikasgassen en neemt het effect ervan toe. De wereldwijde land- en bosbouwpraktijken dragen in hoge mate bij aan de uitstoot van deze gassen. Pleit voor een beleid om deze andere broeikasgassen terug te dringen, waaronder de emissies als gevolg van landgebruik, landbouw en bosbouw. Pleit voor inspanningen om de ontbossing tegen te gaan en nieuwe bossen aan te planten (bebossing).</w:t>
      </w:r>
    </w:p>
    <w:p w:rsidR="00097510" w:rsidRPr="00D81B2C" w:rsidRDefault="00D81B2C" w:rsidP="00186876">
      <w:pPr>
        <w:pStyle w:val="Bodytext50"/>
        <w:keepNext/>
        <w:widowControl/>
        <w:shd w:val="clear" w:color="auto" w:fill="auto"/>
        <w:spacing w:before="0" w:after="100"/>
      </w:pPr>
      <w:r>
        <w:t>Aanvullende overwegingen</w:t>
      </w:r>
    </w:p>
    <w:p w:rsidR="00097510" w:rsidRPr="00D81B2C" w:rsidRDefault="00D81B2C" w:rsidP="00186876">
      <w:pPr>
        <w:pStyle w:val="Bodytext20"/>
        <w:shd w:val="clear" w:color="auto" w:fill="auto"/>
        <w:spacing w:before="0"/>
        <w:ind w:firstLine="0"/>
        <w:jc w:val="both"/>
      </w:pPr>
      <w:r>
        <w:t>De door jullie vertegenwoordigde sector heeft zich ontwikkeld in een tijdperk van goedkope energie, en jullie bedrijfsmodellen gaan ervan uit dat brandstof en elektriciteit goedkoop en ruimschoots voorhanden blijven. Een drastische verhoging van de energie-efficiëntie vereist belangrijke culturele veranderingen en nieuwe capaciteiten. Sommige van jullie belangrijkste stakeholders, waaronder de gevestigde autofabrikanten, de luchtvaart, de scheepvaart en het vrachtvervoer, kunnen schade ondervinden van beleid dat de brandstofprijzen verhoogt. Sommigen overleven het misschien niet. In andere sectoren kunnen energie-efficiënte producten tegen een hogere prijs worden verkocht en zo winst opleveren. Energie-efficiëntie vermindert niet alleen de vraag naar energie, maar kan ook de bestendigheid van de samenleving tegen klimaatgerelateerde rampen verbeteren. Een goed geïsoleerde woning houdt bijvoorbeeld warmte vast, zelfs als een storm de hoogspanningskabels uitschakelt. De energie-intensiteit van de economie (energieverbruik per eenheid van het reële bbp) daalt met ongeveer 1,3 % per jaar, een tendens die de komende decennia naar verwachting zal aanhouden. Sommige analisten concluderen dat de energie-intensiteit tot 5 à 7 % per jaar zou kunnen dalen (tegen bepaalde kosten, en niet in alle sectoren).</w:t>
      </w:r>
    </w:p>
    <w:p w:rsidR="00097510" w:rsidRPr="00D81B2C" w:rsidRDefault="00D81B2C" w:rsidP="00186876">
      <w:pPr>
        <w:pStyle w:val="Bodytext20"/>
        <w:shd w:val="clear" w:color="auto" w:fill="auto"/>
        <w:spacing w:before="0"/>
        <w:ind w:firstLine="0"/>
        <w:jc w:val="both"/>
      </w:pPr>
      <w:r>
        <w:t>Leiders in jullie bedrijfstak melden dat veel energie-efficiëntieprojecten een korte terugverdientijd hebben en een positieve netto contante waarde bieden, met weinig risico. Innovatieve financieringsmechanismen kunnen besparingen als gevolg van lagere energiekosten investeren in de financiering van nieuwe energie-efficiëntieprojecten, waardoor dergelijke projecten financieel aantrekkelijk worden voor belanghebbenden.</w:t>
      </w:r>
    </w:p>
    <w:p w:rsidR="00097510" w:rsidRPr="00D81B2C" w:rsidRDefault="00D81B2C" w:rsidP="00186876">
      <w:pPr>
        <w:pStyle w:val="Bodytext20"/>
        <w:shd w:val="clear" w:color="auto" w:fill="auto"/>
        <w:spacing w:before="0"/>
        <w:ind w:firstLine="0"/>
        <w:jc w:val="both"/>
      </w:pPr>
      <w:r>
        <w:t>De wereldwijde bouwsector groeit in een ongekend tempo, aangedreven door de toename van de wereldbevolking en de economische groei. De komende 40 jaar zal er wereldwijd naar verwachting 230 miljard vierkante meter aan nieuwbouw bijkomen, waardoor elke week het equivalent van de oppervlakte van Parijs aan de planeet wordt toegevoegd. Er zijn nieuwe beleidsmaatregelen en stimulansen nodig om de energie-efficiëntie en de opwekking van hernieuwbare energie in de wereldwijde bouwsector te versnellen en bestaande structuren aan te passen. Nieuwe gebouwen en energieaanpassingen in bestaande gebouwen kunnen het energieverbruik met 25-80 % of meer verminderen, en energieneutrale gebouwen zijn in veel gebieden nu zowel mogelijk als winstgevend. Energie-intensieve industrieën zoals de ijzer-, staal- en cementindustrie zijn efficiënter geworden door de invoering van nieuwe apparatuur en het hergebruik van afvalwarmte. Efficiënte, correct gedimensioneerde motoren en aandrijfeenheden kunnen een energiebesparing van 20-25 % opleveren. De lange levensduur van gebouwen, voertuigen en infrastructuur vertraagt echter het tempo van de verbeteringen en toont aan dat niet alleen nieuwe investeringen nodig zijn, maar ook aanpassingen van bestaande voorzieningen.</w:t>
      </w:r>
    </w:p>
    <w:p w:rsidR="00097510" w:rsidRPr="00D81B2C" w:rsidRDefault="00D81B2C" w:rsidP="00186876">
      <w:pPr>
        <w:pStyle w:val="Bodytext20"/>
        <w:shd w:val="clear" w:color="auto" w:fill="auto"/>
        <w:spacing w:before="0"/>
        <w:ind w:firstLine="0"/>
        <w:jc w:val="both"/>
      </w:pPr>
      <w:r>
        <w:t>Ongeacht het potentieel moeten jullie waakzaam zijn ten aanzien van beleid dat nieuwe kosten met zich meebrengt voor het zakendoen, waaronder een sterke stijging van de kosten van de energie die jullie nodig hebben voor jullie activiteiten. Als groep die zich altijd op innovatie heeft gebaseerd, vinden jullie technologische oplossingen om de uitstoot van broeikasgassen terug te dringen aantrekkelijk en zijn jullie voorstander van overheidssubsidies die nieuwe zakelijke kansen creëren.</w:t>
      </w:r>
    </w:p>
    <w:p w:rsidR="00097510" w:rsidRPr="00D81B2C" w:rsidRDefault="00D81B2C" w:rsidP="00186876">
      <w:pPr>
        <w:pStyle w:val="Bodytext20"/>
        <w:shd w:val="clear" w:color="auto" w:fill="auto"/>
        <w:spacing w:before="0" w:after="0"/>
        <w:ind w:firstLine="0"/>
        <w:jc w:val="both"/>
      </w:pPr>
      <w:r>
        <w:lastRenderedPageBreak/>
        <w:t>Jullie beseffen echter dat de wereldwijde uitstoot van broeikasgassen moet worden beperkt om de ergste gevolgen van de klimaatverandering te voorkomen. Een stijging van de zeespiegel, meer extreme weersomstandigheden en de daaruit voortvloeiende geopolitieke ontwrichtingen vormen ernstige risico’s voor jullie toeleveringsketens, klanten en werknemers. De toenemende schade aan het klimaat vergroot ook de kans op extreme beleidsmaatregelen en regelgeving, die de energiekosten doen stijgen en schadelijk zijn voor jullie bedrijfstak. Terwijl jullie trachten beleid en regelgeving te voorkomen die jullie industrie op oneerlijke wijze belasten, moeten jullie er ook naar streven de uitstoot van broeikasgassen terug te dringen en de klimaatverandering te vertragen, zodat jullie winstgevend kunnen blijven en kunnen overleven in een opwarmende wereld. Zoals Paul Polman, CEO van Unilever, heeft gezegd: “</w:t>
      </w:r>
      <w:r>
        <w:rPr>
          <w:rStyle w:val="Bodytext21"/>
        </w:rPr>
        <w:t>Er is geen winst op een dode planeet</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Ontwikkeld door Climate Interactive, MIT Sloan School of Management Sustainability Initiative, ESB Business School, en UMAS’s Lowell Climate Change Initiative. Voor het laatst bijgewerkt in september 2019. </w:t>
    </w:r>
    <w:hyperlink r:id="rId1" w:history="1">
      <w:r>
        <w:rPr>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45182"/>
    <w:rsid w:val="00097510"/>
    <w:rsid w:val="00186876"/>
    <w:rsid w:val="00315401"/>
    <w:rsid w:val="006C74FC"/>
    <w:rsid w:val="006D1734"/>
    <w:rsid w:val="00A54829"/>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5F944-9048-4F1C-AFD5-329E7F6A336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nl-N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nl-N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CTJJHAUHWN5E-644613129-2696</_dlc_DocId>
    <_dlc_DocIdUrl xmlns="bfc960a6-20da-4c94-8684-71380fca093b">
      <Url>http://dm2016/eesc/2019/_layouts/15/DocIdRedir.aspx?ID=CTJJHAUHWN5E-644613129-2696</Url>
      <Description>CTJJHAUHWN5E-644613129-2696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63</Value>
      <Value>62</Value>
      <Value>246</Value>
      <Value>152</Value>
      <Value>56</Value>
      <Value>55</Value>
      <Value>17</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12E3B12-01C4-45DA-BEAD-A7017DA71E87}"/>
</file>

<file path=customXml/itemProps2.xml><?xml version="1.0" encoding="utf-8"?>
<ds:datastoreItem xmlns:ds="http://schemas.openxmlformats.org/officeDocument/2006/customXml" ds:itemID="{2F18FEF3-1167-4832-B16E-A9E58416E9B2}"/>
</file>

<file path=customXml/itemProps3.xml><?xml version="1.0" encoding="utf-8"?>
<ds:datastoreItem xmlns:ds="http://schemas.openxmlformats.org/officeDocument/2006/customXml" ds:itemID="{B6A417F5-1F81-45B0-AF54-5362472944F7}"/>
</file>

<file path=customXml/itemProps4.xml><?xml version="1.0" encoding="utf-8"?>
<ds:datastoreItem xmlns:ds="http://schemas.openxmlformats.org/officeDocument/2006/customXml" ds:itemID="{56545436-8A7D-4A54-BC25-64E84F5ABDF8}"/>
</file>

<file path=docProps/app.xml><?xml version="1.0" encoding="utf-8"?>
<Properties xmlns="http://schemas.openxmlformats.org/officeDocument/2006/extended-properties" xmlns:vt="http://schemas.openxmlformats.org/officeDocument/2006/docPropsVTypes">
  <Template>Styles</Template>
  <TotalTime>2</TotalTime>
  <Pages>3</Pages>
  <Words>1413</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5 - industrie en handel</dc:title>
  <dc:subject>Informatiedocument</dc:subject>
  <cp:keywords>EESC-2019-05163-04-00-INFO-TRA-EN</cp:keywords>
  <dc:description>Rapporteur:  - Original language: EN - Date of document: 09/12/2019 - Date of meeting:  - External documents:  - Administrator: MME LAHOUSSE Chloé</dc:description>
  <cp:lastModifiedBy>Sabine De Grave</cp:lastModifiedBy>
  <cp:revision>5</cp:revision>
  <dcterms:created xsi:type="dcterms:W3CDTF">2019-11-15T10:30:00Z</dcterms:created>
  <dcterms:modified xsi:type="dcterms:W3CDTF">2019-12-09T13:57:00Z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fed86430-6d42-48ad-81ca-cb101a84c672</vt:lpwstr>
  </property>
  <property fmtid="{D5CDD505-2E9C-101B-9397-08002B2CF9AE}" pid="9" name="AvailableTranslations">
    <vt:lpwstr>152;#MK|34ce48bb-063e-4413-a932-50853dc71c5c;#49;#EL|6d4f4d51-af9b-4650-94b4-4276bee85c91;#46;#CS|72f9705b-0217-4fd3-bea2-cbc7ed80e26e;#62;#FI|87606a43-d45f-42d6-b8c9-e1a3457db5b7;#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MT|7df99101-6854-4a26-b53a-b88c0da02c26;SQ|5ac17240-8d11-45ec-9893-659b209d7a00;TR|6e4ededd-04c4-4fa0-94e0-1028050302d5;SL|98a412ae-eb01-49e9-ae3d-585a81724cfc;SR|7f3a1d13-b985-4bfd-981e-afe31377edff;ES|e7a6b05b-ae16-40c8-add9-68b64b03aeba;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246;#ME|925b3da5-5ac0-4b3c-928c-6ef66a5c9b3c;#152;#MK|34ce48bb-063e-4413-a932-50853dc71c5c;#56;#SL|98a412ae-eb01-49e9-ae3d-585a81724cfc;#17;#ES|e7a6b05b-ae16-40c8-add9-68b64b03aeba;#153;#SR|7f3a1d13-b985-4bfd-981e-afe31377edff;#162;#TR|6e4ededd-04c4-4fa0-94e0-1028050302d5;#49;#EL|6d4f4d51-af9b-4650-94b4-4276bee85c91;#11;#INFO|d9136e7c-93a9-4c42-9d28-92b61e85f80c;#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45;#NL|55c6556c-b4f4-441d-9acf-c498d4f838bd</vt:lpwstr>
  </property>
</Properties>
</file>